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6E" w:rsidRPr="00D8166E" w:rsidRDefault="00484916" w:rsidP="00D8166E">
      <w:pPr>
        <w:spacing w:after="0" w:line="360" w:lineRule="auto"/>
        <w:jc w:val="both"/>
        <w:rPr>
          <w:rFonts w:ascii="Times New Roman" w:hAnsi="Times New Roman" w:cs="Times New Roman"/>
          <w:b/>
          <w:sz w:val="20"/>
          <w:szCs w:val="20"/>
          <w:lang w:val="kk-KZ"/>
        </w:rPr>
      </w:pPr>
      <w:r>
        <w:rPr>
          <w:rFonts w:ascii="Times New Roman" w:hAnsi="Times New Roman" w:cs="Times New Roman"/>
          <w:b/>
          <w:sz w:val="24"/>
          <w:szCs w:val="24"/>
          <w:lang w:val="kk-KZ"/>
        </w:rPr>
        <w:t xml:space="preserve">    </w:t>
      </w:r>
      <w:r>
        <w:rPr>
          <w:rFonts w:ascii="Times New Roman" w:hAnsi="Times New Roman" w:cs="Times New Roman"/>
          <w:b/>
          <w:sz w:val="20"/>
          <w:szCs w:val="20"/>
          <w:lang w:val="kk-KZ"/>
        </w:rPr>
        <w:t xml:space="preserve">11 Дәріс. </w:t>
      </w:r>
      <w:r w:rsidRPr="00484916">
        <w:rPr>
          <w:rFonts w:ascii="Times New Roman" w:hAnsi="Times New Roman" w:cs="Times New Roman"/>
          <w:b/>
          <w:sz w:val="20"/>
          <w:szCs w:val="20"/>
          <w:lang w:val="kk-KZ"/>
        </w:rPr>
        <w:t>Талдамалы есеп және талдамалы корреспонденция.</w:t>
      </w:r>
      <w:bookmarkStart w:id="0" w:name="_GoBack"/>
      <w:bookmarkEnd w:id="0"/>
      <w:r w:rsidR="00D8166E" w:rsidRPr="00D8166E">
        <w:rPr>
          <w:rFonts w:ascii="Times New Roman" w:hAnsi="Times New Roman" w:cs="Times New Roman"/>
          <w:b/>
          <w:sz w:val="20"/>
          <w:szCs w:val="20"/>
          <w:lang w:val="kk-KZ"/>
        </w:rPr>
        <w:t xml:space="preserve">          </w:t>
      </w:r>
    </w:p>
    <w:p w:rsidR="00D8166E" w:rsidRDefault="00D8166E" w:rsidP="00D816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Жаратылыс пен қоғам өмірін, журналистиканың өзін, оның мәтіндерін жанды организм деп қарастырсақ, олардың әсер етуші қасиеті динамизмінде екенін ескерсек, онда қазіргі жанрлар туралы түрлі-түрлі пікір туындайтыны заңды да. Белгілі зерттеуші Л.Е. Кройчик «Журналистика жанрларының жүйесі» атты еңбегінде жанрлардың бүгінгі күні де мән-маңызын жоймағанын айта келіп, оның  «өмірлік материалды ұйыстырудың ерекше формасы, тарихи жағынан нақты, типологиялық, гносеологиялы морфологиялық, аксиологиялық, шығармашылық-жасампаз категория» екенін баса көрсетеді. Бүгінгі баспасөзде «жанр» ұғымын «мәтін» ұғымымен аустырудың мәнісін ол былай түсіндіреді: директивті сипатынан, бір түсті идеологиялық ажарынан айрылған көсемсөз еркін тыныстай бастады. Автор бұрынғыдай өзіндік бет-бейнесі жоқ ретранслятор емес, ол енді ақпарат интерпретаторы, ол аудиториямен диалог режимінде жұмыс істейді. В.В. Ворошилов «Журналистика» оқулығында жанрдың журналист жарияланымының формасы екенін атап көрсетеді. Қазіргі журналистика жанрлары туралы М.Н. Кимнің сөзімен айтар болсақ, оның әрі тұрақтылығы (стабильность), әрі қағылездігі (подвижность) мен мұндалайды. Ал есеп  туралы сөз қозғалғанда, практиктердің өзі оны аса ресми, тым протоколды,  әбден сірескен жанр деп жатады. Дей тұрғанмен журналистикада әлемінде ежелден орын тепкен: «Мезі қылар жанрдан басқасының бәрі жақсы», - деген фразеологизмді ұмытуға болмайды. Кейде осы жанрдың не керегі бар деген ой да қылаң береді. Қалай десек те, оны жанрлық мәтін тізімінен сызып тастау мүмкін емес. Өйткені есепті жоқтатпас, оның орнын басар басқа пішін жоқ, оның тақырыбын,  жүгін басқа жанр көтеріп жүре алмайды. Осы жерде жанрларды жіктеудің классикалық төрт белгісін еске сала кеткен жөн. </w:t>
      </w:r>
      <w:r w:rsidRPr="0025769F">
        <w:rPr>
          <w:rFonts w:ascii="Times New Roman" w:hAnsi="Times New Roman" w:cs="Times New Roman"/>
          <w:b/>
          <w:i/>
          <w:sz w:val="24"/>
          <w:szCs w:val="24"/>
          <w:lang w:val="kk-KZ"/>
        </w:rPr>
        <w:t>Біріншіден</w:t>
      </w:r>
      <w:r>
        <w:rPr>
          <w:rFonts w:ascii="Times New Roman" w:hAnsi="Times New Roman" w:cs="Times New Roman"/>
          <w:sz w:val="24"/>
          <w:szCs w:val="24"/>
          <w:lang w:val="kk-KZ"/>
        </w:rPr>
        <w:t xml:space="preserve">, жанрлар сөз етілетін объектісіне байланысты дараланады. </w:t>
      </w:r>
      <w:r w:rsidRPr="0025769F">
        <w:rPr>
          <w:rFonts w:ascii="Times New Roman" w:hAnsi="Times New Roman" w:cs="Times New Roman"/>
          <w:b/>
          <w:i/>
          <w:sz w:val="24"/>
          <w:szCs w:val="24"/>
          <w:lang w:val="kk-KZ"/>
        </w:rPr>
        <w:t>Екіншіден</w:t>
      </w:r>
      <w:r>
        <w:rPr>
          <w:rFonts w:ascii="Times New Roman" w:hAnsi="Times New Roman" w:cs="Times New Roman"/>
          <w:sz w:val="24"/>
          <w:szCs w:val="24"/>
          <w:lang w:val="kk-KZ"/>
        </w:rPr>
        <w:t xml:space="preserve">, алға қойған нақты міндет, мақсатына, ойға алған жоба-жоспарына қарап ажыратылады. </w:t>
      </w:r>
      <w:r w:rsidRPr="0025769F">
        <w:rPr>
          <w:rFonts w:ascii="Times New Roman" w:hAnsi="Times New Roman" w:cs="Times New Roman"/>
          <w:b/>
          <w:i/>
          <w:sz w:val="24"/>
          <w:szCs w:val="24"/>
          <w:lang w:val="kk-KZ"/>
        </w:rPr>
        <w:t>Үшіншіден</w:t>
      </w:r>
      <w:r>
        <w:rPr>
          <w:rFonts w:ascii="Times New Roman" w:hAnsi="Times New Roman" w:cs="Times New Roman"/>
          <w:sz w:val="24"/>
          <w:szCs w:val="24"/>
          <w:lang w:val="kk-KZ"/>
        </w:rPr>
        <w:t xml:space="preserve">, баспасөз жанрлары болмысты қамту ауқымына байланысты ерекшеленеді. </w:t>
      </w:r>
      <w:r w:rsidRPr="0025769F">
        <w:rPr>
          <w:rFonts w:ascii="Times New Roman" w:hAnsi="Times New Roman" w:cs="Times New Roman"/>
          <w:b/>
          <w:i/>
          <w:sz w:val="24"/>
          <w:szCs w:val="24"/>
          <w:lang w:val="kk-KZ"/>
        </w:rPr>
        <w:t>Төртіншіден</w:t>
      </w:r>
      <w:r>
        <w:rPr>
          <w:rFonts w:ascii="Times New Roman" w:hAnsi="Times New Roman" w:cs="Times New Roman"/>
          <w:sz w:val="24"/>
          <w:szCs w:val="24"/>
          <w:lang w:val="kk-KZ"/>
        </w:rPr>
        <w:t>, оқиға, құбылыс, фактіні бейнелеу әдісіне, тілі мен стиліне қарап жіктеледі. Осы жерде филология ғылымдарының докторы, профессор Т.Қ. Қожакеевтің есеп жанры туралы айтқан пікіріне құлақ салайық: «Мәселен, материалдың сөз етер объектісі әр түрлі жиналыс, мәжіліс болып, солардың мазмұнын ашуға арналса, жазғанымыз есеп (отчет) жанрына жатады». Профессор А.А. Тертычныйдың пікірінше, есептің екі  – хабарлама және талдамалы түрі  болады.</w:t>
      </w:r>
    </w:p>
    <w:p w:rsidR="00D8166E" w:rsidRDefault="00D8166E" w:rsidP="00D816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Талдамалы есепте автор өзінің әлеуметтік позициясын, көзқарасын білдіре алады. Мәселен, саммитке, халықаралық конферецияға және т.б. байланысты.</w:t>
      </w:r>
    </w:p>
    <w:p w:rsidR="00D8166E" w:rsidRDefault="00D8166E" w:rsidP="00D816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Корреспондеция мәтіні  пішіні жағынан репортаж бен есепке ұқсайды. Талдамалы корреспонденцияда журналист мақсаты айқын көрінеді, ол аудиторияға әлі белгісіз оқиғаны әліптейді, оқиға мен құбылсты баяндау белгілі бір авторлық стратегияға бағынады. Қаламгер оқиға туралы хабарлап қана қоймайды, ол оны талдайды, саралайды.</w:t>
      </w:r>
    </w:p>
    <w:p w:rsidR="00D8166E" w:rsidRPr="00CB05DB" w:rsidRDefault="00D8166E" w:rsidP="00D816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301CB" w:rsidRPr="00D8166E" w:rsidRDefault="006301CB">
      <w:pPr>
        <w:rPr>
          <w:lang w:val="kk-KZ"/>
        </w:rPr>
      </w:pPr>
    </w:p>
    <w:sectPr w:rsidR="006301CB" w:rsidRPr="00D81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DD"/>
    <w:rsid w:val="00361872"/>
    <w:rsid w:val="00484916"/>
    <w:rsid w:val="006301CB"/>
    <w:rsid w:val="00D8166E"/>
    <w:rsid w:val="00D87B12"/>
    <w:rsid w:val="00DC00CD"/>
    <w:rsid w:val="00E02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4C677-55B9-4BF0-A391-636AA363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6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2025-09-21T15:59:00Z</dcterms:created>
  <dcterms:modified xsi:type="dcterms:W3CDTF">2025-09-21T15:59:00Z</dcterms:modified>
</cp:coreProperties>
</file>